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Phương pháp</w:t>
      </w:r>
      <w:r w:rsidRPr="00FA254E">
        <w:rPr>
          <w:b/>
          <w:bCs/>
          <w:noProof/>
          <w:sz w:val="24"/>
          <w:szCs w:val="24"/>
        </w:rPr>
        <w:t xml:space="preserve"> nghiên cứu khoa học (NN Anh)</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INTRODUCTION TO</w:t>
      </w:r>
      <w:r w:rsidRPr="00FA254E">
        <w:rPr>
          <w:b/>
          <w:bCs/>
          <w:noProof/>
          <w:sz w:val="24"/>
          <w:szCs w:val="24"/>
        </w:rPr>
        <w:t xml:space="preserve"> RESEARCH METHODS</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3. Mục</w:t>
      </w:r>
      <w:r w:rsidRPr="00FA254E">
        <w:rPr>
          <w:noProof/>
          <w:sz w:val="24"/>
          <w:szCs w:val="24"/>
        </w:rPr>
        <w:t xml:space="preserve"> tiêu: Học phần nhằm trang bị cho sinh viên kiến thức và kỹ năng cơ bản cần thiết để tiếp cận với việc nghiên cứu khoa học trong lĩnh vực chuyên ngành của mình. Sinh viên cần đạt các kiến thức nền tảng này để có thể bước đầu tham gia vào các hoạt động nghiên cứu khoa học, biết cách tìm kiếm, thu thập, xử lý, phân tích dữ liệu ở cấp độ cơ bản, biết cách trình bày một báo cáo khoa học. Học phần cũng sẽ rèn luyện cho sinh viên các kỹ năng tham gia hoạt động nghiên cứu khoa học theo nhóm và độc lập, rèn luyện thái độ tích cực, chuyên cần.</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Phân biệt</w:t>
      </w:r>
      <w:r w:rsidRPr="00FA254E">
        <w:rPr>
          <w:noProof/>
          <w:sz w:val="24"/>
          <w:szCs w:val="24"/>
        </w:rPr>
        <w:t xml:space="preserve"> được các khái niệm trong nghiên cứu khoa học</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Trình bày</w:t>
      </w:r>
      <w:r w:rsidRPr="00FA254E">
        <w:rPr>
          <w:noProof/>
          <w:sz w:val="24"/>
          <w:szCs w:val="24"/>
        </w:rPr>
        <w:t xml:space="preserve"> được trình tự thực hiện một công trình nghiên cứu khoa học</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Phân biệt</w:t>
      </w:r>
      <w:r w:rsidRPr="00FA254E">
        <w:rPr>
          <w:noProof/>
          <w:sz w:val="24"/>
          <w:szCs w:val="24"/>
        </w:rPr>
        <w:t xml:space="preserve"> và biết cách sử dụng các phương pháp chọn mẫu, ứng dụng các mô hình, thiết kế công cụ thu thập dữ liệu trong nghiên cứu định lượng</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Trình bày</w:t>
      </w:r>
      <w:r w:rsidRPr="00FA254E">
        <w:rPr>
          <w:noProof/>
          <w:sz w:val="24"/>
          <w:szCs w:val="24"/>
        </w:rPr>
        <w:t xml:space="preserve"> được trình tự, biết cách sử dụng các phương pháp chọn mẫu, thiết kế, thực hành công cụ thu thập dữ liệu trong nghiên cứu định tính</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Biết cách</w:t>
      </w:r>
      <w:r w:rsidRPr="00FA254E">
        <w:rPr>
          <w:noProof/>
          <w:sz w:val="24"/>
          <w:szCs w:val="24"/>
        </w:rPr>
        <w:t xml:space="preserve"> phân tích và xử lý một số dữ liệu đơn giản</w:t>
      </w:r>
    </w:p>
    <w:p w:rsidR="002009F7" w:rsidRPr="00FA254E" w:rsidP="00841984" w14:textId="21599774">
      <w:pPr>
        <w:spacing w:before="120"/>
        <w:rPr>
          <w:color w:val="000000"/>
          <w:sz w:val="24"/>
          <w:szCs w:val="24"/>
        </w:rPr>
      </w:pPr>
      <w:r w:rsidRPr="00FA254E" w:rsidR="00841984">
        <w:rPr>
          <w:noProof/>
          <w:sz w:val="24"/>
          <w:szCs w:val="24"/>
        </w:rPr>
        <w:t>f</w:t>
      </w:r>
      <w:r w:rsidRPr="00FA254E" w:rsidR="00841984">
        <w:rPr>
          <w:rFonts w:eastAsia="Calibri"/>
          <w:sz w:val="24"/>
          <w:szCs w:val="24"/>
          <w:lang w:val="sv-SE"/>
        </w:rPr>
        <w:t xml:space="preserve">. </w:t>
      </w:r>
      <w:r w:rsidRPr="00FA254E" w:rsidR="00841984">
        <w:rPr>
          <w:noProof/>
          <w:sz w:val="24"/>
          <w:szCs w:val="24"/>
        </w:rPr>
        <w:t>Biết cách</w:t>
      </w:r>
      <w:r w:rsidRPr="00FA254E">
        <w:rPr>
          <w:noProof/>
          <w:sz w:val="24"/>
          <w:szCs w:val="24"/>
        </w:rPr>
        <w:t xml:space="preserve"> phân biệt một số loại báo cáo khoa học và biết cách trình bày một báo cáo khoa học đơn giản.</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paraId="316F2ECB"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f</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Chủ đề</w:t>
            </w:r>
            <w:r w:rsidRPr="00FA254E">
              <w:rPr>
                <w:noProof/>
                <w:sz w:val="24"/>
                <w:szCs w:val="24"/>
              </w:rPr>
              <w:t xml:space="preserve"> 1: KHÁI NIỆM VÀ TRÌNH TỰ TRONG KHOA HỌC VÀ NGHIÊN CỨU KHOA HỌC</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 b</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Chủ đề</w:t>
            </w:r>
            <w:r w:rsidRPr="00FA254E">
              <w:rPr>
                <w:noProof/>
                <w:sz w:val="24"/>
                <w:szCs w:val="24"/>
              </w:rPr>
              <w:t xml:space="preserve"> 2: CÁC PHƯƠNG PHÁP NGHIÊN CỨU ĐỊNH LƯỢNG</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Chủ đề</w:t>
            </w:r>
            <w:r w:rsidRPr="00FA254E">
              <w:rPr>
                <w:noProof/>
                <w:sz w:val="24"/>
                <w:szCs w:val="24"/>
              </w:rPr>
              <w:t xml:space="preserve"> 3: CÁC PHƯƠNG PHÁP NGHIÊN CỨU ĐỊNH TÍNH</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Chủ đề</w:t>
            </w:r>
            <w:r w:rsidRPr="00FA254E">
              <w:rPr>
                <w:noProof/>
                <w:sz w:val="24"/>
                <w:szCs w:val="24"/>
              </w:rPr>
              <w:t xml:space="preserve"> 4: XỬ LÝ VÀ PHÂN TÍCH SỐ LIỆU</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Chủ đề</w:t>
            </w:r>
            <w:r w:rsidRPr="00FA254E">
              <w:rPr>
                <w:noProof/>
                <w:sz w:val="24"/>
                <w:szCs w:val="24"/>
              </w:rPr>
              <w:t xml:space="preserve"> 5: VIẾT CÁC TÀI LIỆU KHOA HỌC</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f</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r w:rsidRPr="00FA254E">
              <w:rPr>
                <w:noProof/>
                <w:sz w:val="24"/>
                <w:szCs w:val="24"/>
              </w:rPr>
              <w:t>, thảo luận nhóm</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nhóm</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c, d,</w:t>
            </w:r>
            <w:r>
              <w:rPr>
                <w:noProof/>
                <w:sz w:val="24"/>
                <w:szCs w:val="24"/>
              </w:rPr>
              <w:t xml:space="preserve">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nhóm, thuyết trình</w:t>
            </w:r>
          </w:p>
        </w:tc>
        <w:tc>
          <w:tcPr>
            <w:tcW w:w="2127" w:type="dxa"/>
            <w:vAlign w:val="center"/>
          </w:tcPr>
          <w:p w:rsidR="00190B75" w:rsidRPr="00FA254E" w:rsidP="00190B75" w14:textId="1F32AB3D">
            <w:pPr>
              <w:spacing w:before="40" w:after="40"/>
              <w:jc w:val="center"/>
              <w:rPr>
                <w:sz w:val="24"/>
                <w:szCs w:val="24"/>
              </w:rPr>
            </w:pPr>
            <w:r>
              <w:rPr>
                <w:noProof/>
                <w:sz w:val="24"/>
                <w:szCs w:val="24"/>
              </w:rPr>
              <w:t>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f</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 e, f</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 Bài tập lớn – Vấn đáp</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 f</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Lê Văn</w:t>
            </w:r>
            <w:r w:rsidRPr="00FA254E">
              <w:rPr>
                <w:noProof/>
                <w:sz w:val="24"/>
                <w:szCs w:val="24"/>
              </w:rPr>
              <w:t xml:space="preserve"> Hảo</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Phương pháp</w:t>
            </w:r>
            <w:r w:rsidRPr="00FA254E">
              <w:rPr>
                <w:noProof/>
                <w:sz w:val="24"/>
                <w:szCs w:val="24"/>
              </w:rPr>
              <w:t xml:space="preserve"> NCKH</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2020</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Trường ĐHNT</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số ĐHNT</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Alan Bryman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Social Research</w:t>
            </w:r>
            <w:r w:rsidRPr="00FA254E">
              <w:rPr>
                <w:noProof/>
                <w:sz w:val="24"/>
                <w:szCs w:val="24"/>
              </w:rPr>
              <w:t xml:space="preserve"> Methods (4th Ed.)</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0</w:t>
            </w:r>
          </w:p>
        </w:tc>
        <w:tc>
          <w:tcPr>
            <w:tcW w:w="1230" w:type="dxa"/>
            <w:vAlign w:val="center"/>
          </w:tcPr>
          <w:p w:rsidR="003D6B9E" w:rsidRPr="00FA254E" w:rsidP="003D6B9E" w14:textId="64076F77">
            <w:pPr>
              <w:spacing w:before="40" w:after="40"/>
              <w:jc w:val="both"/>
              <w:rPr>
                <w:sz w:val="24"/>
                <w:szCs w:val="24"/>
              </w:rPr>
            </w:pP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Internet</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Luc Van</w:t>
            </w:r>
            <w:r w:rsidRPr="00FA254E">
              <w:rPr>
                <w:noProof/>
                <w:sz w:val="24"/>
                <w:szCs w:val="24"/>
              </w:rPr>
              <w:t xml:space="preserve"> Campenhoudl et al.,</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Manuel de</w:t>
            </w:r>
            <w:r w:rsidRPr="00FA254E">
              <w:rPr>
                <w:noProof/>
                <w:sz w:val="24"/>
                <w:szCs w:val="24"/>
              </w:rPr>
              <w:t xml:space="preserve"> recherche en sciences sociales, 5e édition</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2017</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Dunod</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Internet</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25/06</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Lê Thị</w:t>
      </w:r>
      <w:r>
        <w:rPr>
          <w:b/>
          <w:bCs/>
          <w:noProof/>
          <w:sz w:val="24"/>
          <w:szCs w:val="24"/>
        </w:rPr>
        <w:t xml:space="preserve"> Bảo Châu</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